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D28" w:rsidRPr="00431D9C" w:rsidRDefault="00BF5D28" w:rsidP="00431D9C">
      <w:pPr>
        <w:rPr>
          <w:b/>
          <w:sz w:val="28"/>
          <w:szCs w:val="28"/>
          <w:lang w:eastAsia="en-CA"/>
        </w:rPr>
      </w:pPr>
      <w:bookmarkStart w:id="0" w:name="_Toc63411878"/>
      <w:bookmarkStart w:id="1" w:name="_Toc63432717"/>
      <w:r w:rsidRPr="00431D9C">
        <w:rPr>
          <w:b/>
          <w:sz w:val="28"/>
          <w:szCs w:val="28"/>
          <w:lang w:eastAsia="en-CA"/>
        </w:rPr>
        <w:t>WHMIS 2015</w:t>
      </w:r>
      <w:bookmarkEnd w:id="0"/>
      <w:bookmarkEnd w:id="1"/>
    </w:p>
    <w:p w:rsidR="00BF5D28" w:rsidRPr="00BF5D28" w:rsidRDefault="00BF5D28" w:rsidP="00BF5D28">
      <w:pPr>
        <w:spacing w:line="240" w:lineRule="auto"/>
      </w:pPr>
      <w:r w:rsidRPr="00BF5D28">
        <w:t>Worker must complete WHMIS 2015 Education and Training.</w:t>
      </w:r>
    </w:p>
    <w:p w:rsidR="00BF5D28" w:rsidRPr="00BF5D28" w:rsidRDefault="00BF5D28" w:rsidP="00BF5D28">
      <w:pPr>
        <w:spacing w:after="0" w:line="240" w:lineRule="auto"/>
      </w:pPr>
      <w:r w:rsidRPr="00BF5D28">
        <w:t xml:space="preserve">All Hazardous Products in or on the worksite must have a Safety Data Sheet (SDS).   </w:t>
      </w:r>
    </w:p>
    <w:p w:rsidR="00BF5D28" w:rsidRPr="00BF5D28" w:rsidRDefault="00BF5D28" w:rsidP="00BF5D28">
      <w:pPr>
        <w:spacing w:line="240" w:lineRule="auto"/>
      </w:pPr>
      <w:r w:rsidRPr="00BF5D28">
        <w:rPr>
          <w:b/>
          <w:bCs/>
        </w:rPr>
        <w:t>NOTE</w:t>
      </w:r>
      <w:r w:rsidRPr="00BF5D28">
        <w:t xml:space="preserve">: Consumer products (which are materials intended for consumer use, and provided in volume, such as cleaners, adhesives, lubricants, etc.) are not subject to WHMIS 2015 requirements. However, if product is brought into the workplace an SDS must accompany the product. In many cases, SDSs are available from the product supplier. </w:t>
      </w:r>
    </w:p>
    <w:p w:rsidR="00BF5D28" w:rsidRPr="00BF5D28" w:rsidRDefault="00BF5D28" w:rsidP="00BF5D28">
      <w:pPr>
        <w:spacing w:after="120" w:line="240" w:lineRule="auto"/>
      </w:pPr>
      <w:r w:rsidRPr="00BF5D28">
        <w:t>Only Safety Data Sheets are acceptable. Material Safety Data Sheets MSDS are not acceptable.</w:t>
      </w:r>
    </w:p>
    <w:p w:rsidR="00BF5D28" w:rsidRPr="00BF5D28" w:rsidRDefault="00BF5D28" w:rsidP="00BF5D28">
      <w:pPr>
        <w:spacing w:after="120" w:line="240" w:lineRule="auto"/>
      </w:pPr>
      <w:r w:rsidRPr="00BF5D28">
        <w:t>Worker purchases a hazardous product that is new to the WHMIS 2015 inventory, worker must:</w:t>
      </w:r>
    </w:p>
    <w:p w:rsidR="00BF5D28" w:rsidRPr="00BF5D28" w:rsidRDefault="00BF5D28" w:rsidP="00BF5D28">
      <w:pPr>
        <w:numPr>
          <w:ilvl w:val="0"/>
          <w:numId w:val="1"/>
        </w:numPr>
        <w:spacing w:after="0" w:line="240" w:lineRule="auto"/>
        <w:contextualSpacing/>
      </w:pPr>
      <w:r w:rsidRPr="00BF5D28">
        <w:t>Provide SDS (this can be provided by supplier).</w:t>
      </w:r>
    </w:p>
    <w:p w:rsidR="00BF5D28" w:rsidRPr="00BF5D28" w:rsidRDefault="00BF5D28" w:rsidP="00BF5D28">
      <w:pPr>
        <w:numPr>
          <w:ilvl w:val="0"/>
          <w:numId w:val="1"/>
        </w:numPr>
        <w:spacing w:after="0" w:line="240" w:lineRule="auto"/>
        <w:contextualSpacing/>
      </w:pPr>
      <w:r w:rsidRPr="00BF5D28">
        <w:t xml:space="preserve">SDS to be added to inventory database, binder in shop (if applicable), binder in work truck (if applicable). </w:t>
      </w:r>
    </w:p>
    <w:p w:rsidR="00BF5D28" w:rsidRPr="00BF5D28" w:rsidRDefault="00BF5D28" w:rsidP="00BF5D28">
      <w:pPr>
        <w:numPr>
          <w:ilvl w:val="0"/>
          <w:numId w:val="1"/>
        </w:numPr>
        <w:spacing w:after="0" w:line="240" w:lineRule="auto"/>
        <w:contextualSpacing/>
      </w:pPr>
      <w:r w:rsidRPr="00BF5D28">
        <w:t>Communicate with supervisor.</w:t>
      </w:r>
    </w:p>
    <w:p w:rsidR="00BF5D28" w:rsidRPr="00BF5D28" w:rsidRDefault="00BF5D28" w:rsidP="00BF5D28">
      <w:pPr>
        <w:numPr>
          <w:ilvl w:val="0"/>
          <w:numId w:val="1"/>
        </w:numPr>
        <w:spacing w:after="120" w:line="240" w:lineRule="auto"/>
        <w:contextualSpacing/>
      </w:pPr>
      <w:r w:rsidRPr="00BF5D28">
        <w:t>If unable to locate/acquire SDS notify supervisor immediately.</w:t>
      </w:r>
    </w:p>
    <w:p w:rsidR="00BF5D28" w:rsidRPr="00BF5D28" w:rsidRDefault="00BF5D28" w:rsidP="00BF5D28">
      <w:pPr>
        <w:spacing w:line="240" w:lineRule="auto"/>
        <w:ind w:left="720"/>
        <w:contextualSpacing/>
      </w:pPr>
      <w:r w:rsidRPr="00BF5D28">
        <w:t xml:space="preserve"> </w:t>
      </w:r>
    </w:p>
    <w:p w:rsidR="00BF5D28" w:rsidRPr="00BF5D28" w:rsidRDefault="00BF5D28" w:rsidP="00BF5D28">
      <w:pPr>
        <w:spacing w:after="120" w:line="240" w:lineRule="auto"/>
      </w:pPr>
      <w:r w:rsidRPr="00BF5D28">
        <w:t>Hazardous products used at schools:</w:t>
      </w:r>
    </w:p>
    <w:p w:rsidR="00BF5D28" w:rsidRPr="00BF5D28" w:rsidRDefault="00BF5D28" w:rsidP="00BF5D28">
      <w:pPr>
        <w:numPr>
          <w:ilvl w:val="0"/>
          <w:numId w:val="2"/>
        </w:numPr>
        <w:spacing w:after="32" w:line="240" w:lineRule="auto"/>
        <w:contextualSpacing/>
      </w:pPr>
      <w:r w:rsidRPr="00BF5D28">
        <w:t>No products are to be left at schools unless the product is required for operations (e.g., Glycol,</w:t>
      </w:r>
      <w:r w:rsidR="004E700A">
        <w:t xml:space="preserve"> etc.</w:t>
      </w:r>
      <w:bookmarkStart w:id="2" w:name="_GoBack"/>
      <w:bookmarkEnd w:id="2"/>
      <w:r w:rsidRPr="00BF5D28">
        <w:t>)</w:t>
      </w:r>
    </w:p>
    <w:p w:rsidR="00BF5D28" w:rsidRPr="00BF5D28" w:rsidRDefault="00BF5D28" w:rsidP="00BF5D28">
      <w:pPr>
        <w:numPr>
          <w:ilvl w:val="1"/>
          <w:numId w:val="2"/>
        </w:numPr>
        <w:spacing w:after="120" w:line="240" w:lineRule="auto"/>
        <w:contextualSpacing/>
      </w:pPr>
      <w:r w:rsidRPr="00BF5D28">
        <w:t xml:space="preserve">The above-mentioned products must have a SDS at the school, provide SDS to school administrator </w:t>
      </w:r>
    </w:p>
    <w:p w:rsidR="00BF5D28" w:rsidRPr="00BF5D28" w:rsidRDefault="00BF5D28" w:rsidP="00BF5D28">
      <w:pPr>
        <w:spacing w:line="240" w:lineRule="auto"/>
        <w:ind w:left="1440"/>
        <w:contextualSpacing/>
      </w:pPr>
    </w:p>
    <w:p w:rsidR="00BF5D28" w:rsidRPr="00BF5D28" w:rsidRDefault="00BF5D28" w:rsidP="00BF5D28">
      <w:pPr>
        <w:spacing w:after="120" w:line="240" w:lineRule="auto"/>
      </w:pPr>
      <w:r w:rsidRPr="00BF5D28">
        <w:t>Hazardous product no longer used or available or supplier change:</w:t>
      </w:r>
    </w:p>
    <w:p w:rsidR="00BF5D28" w:rsidRPr="00BF5D28" w:rsidRDefault="00BF5D28" w:rsidP="00BF5D28">
      <w:pPr>
        <w:numPr>
          <w:ilvl w:val="0"/>
          <w:numId w:val="2"/>
        </w:numPr>
        <w:spacing w:after="120" w:line="240" w:lineRule="auto"/>
        <w:contextualSpacing/>
      </w:pPr>
      <w:r w:rsidRPr="00BF5D28">
        <w:t xml:space="preserve">SDS must be removed from database, binder(s) school, truck, shop (if applicable) </w:t>
      </w:r>
    </w:p>
    <w:p w:rsidR="00BF5D28" w:rsidRPr="00BF5D28" w:rsidRDefault="00BF5D28" w:rsidP="00BF5D28">
      <w:pPr>
        <w:spacing w:line="240" w:lineRule="auto"/>
        <w:ind w:left="720"/>
        <w:contextualSpacing/>
      </w:pPr>
    </w:p>
    <w:p w:rsidR="00BF5D28" w:rsidRPr="00BF5D28" w:rsidRDefault="00BF5D28" w:rsidP="00BF5D28">
      <w:pPr>
        <w:spacing w:after="120" w:line="240" w:lineRule="auto"/>
      </w:pPr>
      <w:r w:rsidRPr="00BF5D28">
        <w:t>Supervisor:</w:t>
      </w:r>
    </w:p>
    <w:p w:rsidR="00BF5D28" w:rsidRPr="00BF5D28" w:rsidRDefault="00BF5D28" w:rsidP="00BF5D28">
      <w:pPr>
        <w:numPr>
          <w:ilvl w:val="0"/>
          <w:numId w:val="2"/>
        </w:numPr>
        <w:spacing w:after="32" w:line="240" w:lineRule="auto"/>
        <w:contextualSpacing/>
      </w:pPr>
      <w:r w:rsidRPr="00BF5D28">
        <w:t>To support worker locating SDS, maintain index, database, binder(s)</w:t>
      </w:r>
    </w:p>
    <w:p w:rsidR="00BF5D28" w:rsidRPr="00BF5D28" w:rsidRDefault="00BF5D28" w:rsidP="00BF5D28">
      <w:pPr>
        <w:numPr>
          <w:ilvl w:val="0"/>
          <w:numId w:val="2"/>
        </w:numPr>
        <w:spacing w:after="32" w:line="240" w:lineRule="auto"/>
        <w:contextualSpacing/>
      </w:pPr>
      <w:r w:rsidRPr="00BF5D28">
        <w:t>Any identified change in SDS information must be communicated to worker</w:t>
      </w:r>
    </w:p>
    <w:p w:rsidR="00BF5D28" w:rsidRPr="00BF5D28" w:rsidRDefault="00BF5D28" w:rsidP="00BF5D28">
      <w:pPr>
        <w:numPr>
          <w:ilvl w:val="0"/>
          <w:numId w:val="2"/>
        </w:numPr>
        <w:spacing w:after="32" w:line="240" w:lineRule="auto"/>
        <w:contextualSpacing/>
      </w:pPr>
      <w:r w:rsidRPr="00BF5D28">
        <w:t xml:space="preserve">Provide new SDS if applicable </w:t>
      </w:r>
    </w:p>
    <w:p w:rsidR="00BF5D28" w:rsidRPr="00BF5D28" w:rsidRDefault="00BF5D28" w:rsidP="00BF5D28">
      <w:pPr>
        <w:spacing w:line="240" w:lineRule="auto"/>
        <w:ind w:left="720"/>
        <w:contextualSpacing/>
      </w:pPr>
    </w:p>
    <w:p w:rsidR="00BF5D28" w:rsidRPr="00BF5D28" w:rsidRDefault="00BF5D28" w:rsidP="00BF5D28">
      <w:pPr>
        <w:spacing w:after="120" w:line="240" w:lineRule="auto"/>
      </w:pPr>
      <w:r w:rsidRPr="00BF5D28">
        <w:rPr>
          <w:noProof/>
          <w:lang w:eastAsia="en-CA"/>
        </w:rPr>
        <w:drawing>
          <wp:anchor distT="0" distB="0" distL="114300" distR="114300" simplePos="0" relativeHeight="251659264" behindDoc="1" locked="0" layoutInCell="1" allowOverlap="1" wp14:anchorId="063A1AC7" wp14:editId="7E21EB67">
            <wp:simplePos x="0" y="0"/>
            <wp:positionH relativeFrom="margin">
              <wp:posOffset>4429125</wp:posOffset>
            </wp:positionH>
            <wp:positionV relativeFrom="paragraph">
              <wp:posOffset>148590</wp:posOffset>
            </wp:positionV>
            <wp:extent cx="1971675" cy="1533525"/>
            <wp:effectExtent l="0" t="0" r="9525" b="9525"/>
            <wp:wrapTight wrapText="bothSides">
              <wp:wrapPolygon edited="0">
                <wp:start x="0" y="0"/>
                <wp:lineTo x="0" y="21466"/>
                <wp:lineTo x="21496" y="21466"/>
                <wp:lineTo x="21496"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675" cy="1533525"/>
                    </a:xfrm>
                    <a:prstGeom prst="rect">
                      <a:avLst/>
                    </a:prstGeom>
                  </pic:spPr>
                </pic:pic>
              </a:graphicData>
            </a:graphic>
            <wp14:sizeRelH relativeFrom="margin">
              <wp14:pctWidth>0</wp14:pctWidth>
            </wp14:sizeRelH>
            <wp14:sizeRelV relativeFrom="margin">
              <wp14:pctHeight>0</wp14:pctHeight>
            </wp14:sizeRelV>
          </wp:anchor>
        </w:drawing>
      </w:r>
      <w:r w:rsidRPr="00BF5D28">
        <w:t>Availability of Safety Data Sheets:</w:t>
      </w:r>
    </w:p>
    <w:p w:rsidR="00BF5D28" w:rsidRPr="00BF5D28" w:rsidRDefault="00BF5D28" w:rsidP="00BF5D28">
      <w:pPr>
        <w:numPr>
          <w:ilvl w:val="0"/>
          <w:numId w:val="4"/>
        </w:numPr>
        <w:spacing w:after="32" w:line="240" w:lineRule="auto"/>
        <w:contextualSpacing/>
      </w:pPr>
      <w:r w:rsidRPr="00BF5D28">
        <w:t>To workers who may be exposed to the hazardous product</w:t>
      </w:r>
    </w:p>
    <w:p w:rsidR="00BF5D28" w:rsidRPr="00BF5D28" w:rsidRDefault="00BF5D28" w:rsidP="00BF5D28">
      <w:pPr>
        <w:numPr>
          <w:ilvl w:val="0"/>
          <w:numId w:val="4"/>
        </w:numPr>
        <w:spacing w:after="32" w:line="240" w:lineRule="auto"/>
        <w:contextualSpacing/>
      </w:pPr>
      <w:r w:rsidRPr="00BF5D28">
        <w:t xml:space="preserve">To the Occupational Health Committee </w:t>
      </w:r>
    </w:p>
    <w:p w:rsidR="00BF5D28" w:rsidRPr="00BF5D28" w:rsidRDefault="00BF5D28" w:rsidP="00BF5D28">
      <w:pPr>
        <w:spacing w:line="240" w:lineRule="auto"/>
        <w:ind w:left="720"/>
        <w:contextualSpacing/>
      </w:pPr>
    </w:p>
    <w:p w:rsidR="00BF5D28" w:rsidRPr="00BF5D28" w:rsidRDefault="00BF5D28" w:rsidP="00BF5D28">
      <w:pPr>
        <w:spacing w:after="120" w:line="240" w:lineRule="auto"/>
      </w:pPr>
      <w:r w:rsidRPr="00BF5D28">
        <w:t>Workplace label required:</w:t>
      </w:r>
    </w:p>
    <w:p w:rsidR="00BF5D28" w:rsidRPr="00BF5D28" w:rsidRDefault="00BF5D28" w:rsidP="00BF5D28">
      <w:pPr>
        <w:numPr>
          <w:ilvl w:val="0"/>
          <w:numId w:val="3"/>
        </w:numPr>
        <w:spacing w:after="32" w:line="240" w:lineRule="auto"/>
        <w:contextualSpacing/>
      </w:pPr>
      <w:r w:rsidRPr="00BF5D28">
        <w:t>A hazardous product is decanted into another container</w:t>
      </w:r>
    </w:p>
    <w:p w:rsidR="00BF5D28" w:rsidRPr="00BF5D28" w:rsidRDefault="00BF5D28" w:rsidP="00BF5D28">
      <w:pPr>
        <w:spacing w:line="240" w:lineRule="auto"/>
        <w:ind w:left="720"/>
        <w:contextualSpacing/>
      </w:pPr>
      <w:r w:rsidRPr="00BF5D28">
        <w:t xml:space="preserve"> (e.g., transferred or poured)</w:t>
      </w:r>
      <w:r w:rsidRPr="00BF5D28">
        <w:rPr>
          <w:noProof/>
          <w:lang w:val="en-US"/>
        </w:rPr>
        <w:t xml:space="preserve"> </w:t>
      </w:r>
    </w:p>
    <w:p w:rsidR="00BF5D28" w:rsidRPr="00BF5D28" w:rsidRDefault="00BF5D28" w:rsidP="00BF5D28">
      <w:pPr>
        <w:numPr>
          <w:ilvl w:val="0"/>
          <w:numId w:val="3"/>
        </w:numPr>
        <w:spacing w:after="32" w:line="240" w:lineRule="auto"/>
        <w:contextualSpacing/>
      </w:pPr>
      <w:r w:rsidRPr="00BF5D28">
        <w:t xml:space="preserve">A supplier label is lost or no longer illegible (unable to read) </w:t>
      </w:r>
    </w:p>
    <w:p w:rsidR="00BF5D28" w:rsidRPr="00BF5D28" w:rsidRDefault="00BF5D28" w:rsidP="00BF5D28">
      <w:pPr>
        <w:tabs>
          <w:tab w:val="left" w:pos="6360"/>
        </w:tabs>
      </w:pPr>
      <w:r w:rsidRPr="00BF5D28">
        <w:tab/>
      </w:r>
    </w:p>
    <w:p w:rsidR="00BF5D28" w:rsidRPr="00BF5D28" w:rsidRDefault="00BF5D28" w:rsidP="00BF5D28">
      <w:pPr>
        <w:spacing w:after="33" w:line="240" w:lineRule="auto"/>
        <w:rPr>
          <w:rFonts w:eastAsia="Cambria" w:cs="Cambria"/>
          <w:b/>
          <w:color w:val="4F81BD"/>
          <w:lang w:eastAsia="en-CA"/>
        </w:rPr>
      </w:pPr>
    </w:p>
    <w:p w:rsidR="00BF5D28" w:rsidRDefault="00BF5D28">
      <w:r>
        <w:rPr>
          <w:noProof/>
          <w:lang w:eastAsia="en-CA"/>
        </w:rPr>
        <w:lastRenderedPageBreak/>
        <w:drawing>
          <wp:anchor distT="0" distB="0" distL="114300" distR="114300" simplePos="0" relativeHeight="251661312" behindDoc="1" locked="0" layoutInCell="1" allowOverlap="1" wp14:anchorId="160C2C55" wp14:editId="6C0D6C94">
            <wp:simplePos x="0" y="0"/>
            <wp:positionH relativeFrom="margin">
              <wp:posOffset>57150</wp:posOffset>
            </wp:positionH>
            <wp:positionV relativeFrom="paragraph">
              <wp:posOffset>200025</wp:posOffset>
            </wp:positionV>
            <wp:extent cx="5518150" cy="7629525"/>
            <wp:effectExtent l="0" t="0" r="6350" b="9525"/>
            <wp:wrapTight wrapText="bothSides">
              <wp:wrapPolygon edited="0">
                <wp:start x="0" y="0"/>
                <wp:lineTo x="0" y="21573"/>
                <wp:lineTo x="21550" y="21573"/>
                <wp:lineTo x="21550"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18150" cy="7629525"/>
                    </a:xfrm>
                    <a:prstGeom prst="rect">
                      <a:avLst/>
                    </a:prstGeom>
                  </pic:spPr>
                </pic:pic>
              </a:graphicData>
            </a:graphic>
            <wp14:sizeRelH relativeFrom="margin">
              <wp14:pctWidth>0</wp14:pctWidth>
            </wp14:sizeRelH>
            <wp14:sizeRelV relativeFrom="margin">
              <wp14:pctHeight>0</wp14:pctHeight>
            </wp14:sizeRelV>
          </wp:anchor>
        </w:drawing>
      </w:r>
    </w:p>
    <w:p w:rsidR="00BF5D28" w:rsidRPr="00BF5D28" w:rsidRDefault="00BF5D28" w:rsidP="00BF5D28"/>
    <w:p w:rsidR="00BF5D28" w:rsidRDefault="00BF5D28" w:rsidP="00BF5D28"/>
    <w:p w:rsidR="00BF5D28" w:rsidRDefault="00BF5D28" w:rsidP="00BF5D28">
      <w:pPr>
        <w:tabs>
          <w:tab w:val="left" w:pos="1710"/>
        </w:tabs>
      </w:pPr>
      <w:r>
        <w:tab/>
      </w:r>
    </w:p>
    <w:p w:rsidR="00BF5D28" w:rsidRDefault="00BF5D28">
      <w:r>
        <w:br w:type="page"/>
      </w:r>
    </w:p>
    <w:p w:rsidR="001F73EB" w:rsidRPr="00BF5D28" w:rsidRDefault="00BF5D28" w:rsidP="00BF5D28">
      <w:pPr>
        <w:tabs>
          <w:tab w:val="left" w:pos="1710"/>
        </w:tabs>
      </w:pPr>
      <w:r>
        <w:rPr>
          <w:noProof/>
          <w:lang w:eastAsia="en-CA"/>
        </w:rPr>
        <w:lastRenderedPageBreak/>
        <w:drawing>
          <wp:anchor distT="0" distB="0" distL="114300" distR="114300" simplePos="0" relativeHeight="251663360" behindDoc="1" locked="0" layoutInCell="1" allowOverlap="1" wp14:anchorId="0C0041DC" wp14:editId="00EB51FE">
            <wp:simplePos x="0" y="0"/>
            <wp:positionH relativeFrom="margin">
              <wp:posOffset>0</wp:posOffset>
            </wp:positionH>
            <wp:positionV relativeFrom="paragraph">
              <wp:posOffset>0</wp:posOffset>
            </wp:positionV>
            <wp:extent cx="5819775" cy="8229600"/>
            <wp:effectExtent l="0" t="0" r="9525" b="0"/>
            <wp:wrapTight wrapText="bothSides">
              <wp:wrapPolygon edited="0">
                <wp:start x="0" y="0"/>
                <wp:lineTo x="0" y="21550"/>
                <wp:lineTo x="21565" y="21550"/>
                <wp:lineTo x="21565"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14:sizeRelH relativeFrom="margin">
              <wp14:pctWidth>0</wp14:pctWidth>
            </wp14:sizeRelH>
            <wp14:sizeRelV relativeFrom="margin">
              <wp14:pctHeight>0</wp14:pctHeight>
            </wp14:sizeRelV>
          </wp:anchor>
        </w:drawing>
      </w:r>
    </w:p>
    <w:sectPr w:rsidR="001F73EB" w:rsidRPr="00BF5D28">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D28" w:rsidRDefault="00BF5D28" w:rsidP="00BF5D28">
      <w:pPr>
        <w:spacing w:after="0" w:line="240" w:lineRule="auto"/>
      </w:pPr>
      <w:r>
        <w:separator/>
      </w:r>
    </w:p>
  </w:endnote>
  <w:endnote w:type="continuationSeparator" w:id="0">
    <w:p w:rsidR="00BF5D28" w:rsidRDefault="00BF5D28" w:rsidP="00BF5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D28" w:rsidRDefault="00BF5D28" w:rsidP="00BF5D28">
    <w:pPr>
      <w:pStyle w:val="Footer"/>
      <w:jc w:val="center"/>
    </w:pPr>
    <w:r w:rsidRPr="000B3F1B">
      <w:rPr>
        <w:noProof/>
        <w:lang w:eastAsia="en-CA"/>
      </w:rPr>
      <w:drawing>
        <wp:anchor distT="0" distB="0" distL="114300" distR="114300" simplePos="0" relativeHeight="251661312" behindDoc="0" locked="0" layoutInCell="1" allowOverlap="1" wp14:anchorId="19022521" wp14:editId="02571113">
          <wp:simplePos x="0" y="0"/>
          <wp:positionH relativeFrom="column">
            <wp:posOffset>1409700</wp:posOffset>
          </wp:positionH>
          <wp:positionV relativeFrom="paragraph">
            <wp:posOffset>-133350</wp:posOffset>
          </wp:positionV>
          <wp:extent cx="2876550" cy="453191"/>
          <wp:effectExtent l="0" t="0" r="0" b="0"/>
          <wp:wrapNone/>
          <wp:docPr id="90215" name="Picture 90215"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0" cy="453191"/>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D28" w:rsidRDefault="00BF5D28" w:rsidP="00BF5D28">
      <w:pPr>
        <w:spacing w:after="0" w:line="240" w:lineRule="auto"/>
      </w:pPr>
      <w:r>
        <w:separator/>
      </w:r>
    </w:p>
  </w:footnote>
  <w:footnote w:type="continuationSeparator" w:id="0">
    <w:p w:rsidR="00BF5D28" w:rsidRDefault="00BF5D28" w:rsidP="00BF5D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D28" w:rsidRDefault="00BF5D28">
    <w:pPr>
      <w:pStyle w:val="Header"/>
    </w:pPr>
    <w:r w:rsidRPr="000B3F1B">
      <w:rPr>
        <w:noProof/>
        <w:lang w:eastAsia="en-CA"/>
      </w:rPr>
      <w:drawing>
        <wp:anchor distT="0" distB="0" distL="114300" distR="114300" simplePos="0" relativeHeight="251659264" behindDoc="1" locked="0" layoutInCell="1" allowOverlap="1" wp14:anchorId="571D5162" wp14:editId="1AC7EE93">
          <wp:simplePos x="0" y="0"/>
          <wp:positionH relativeFrom="column">
            <wp:posOffset>0</wp:posOffset>
          </wp:positionH>
          <wp:positionV relativeFrom="paragraph">
            <wp:posOffset>-173355</wp:posOffset>
          </wp:positionV>
          <wp:extent cx="2068195" cy="596900"/>
          <wp:effectExtent l="0" t="0" r="8255" b="0"/>
          <wp:wrapTight wrapText="bothSides">
            <wp:wrapPolygon edited="0">
              <wp:start x="0" y="0"/>
              <wp:lineTo x="0" y="20681"/>
              <wp:lineTo x="21487" y="20681"/>
              <wp:lineTo x="21487" y="0"/>
              <wp:lineTo x="0" y="0"/>
            </wp:wrapPolygon>
          </wp:wrapTight>
          <wp:docPr id="1" name="Picture 1" descr="T:\Logos\Logos\Logos SASWH\High Res Files\Screen Versions\Logo\SASWH-logo-RG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Logos\Logos\Logos SASWH\High Res Files\Screen Versions\Logo\SASWH-logo-RGB_cropp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8195" cy="5969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72DF7"/>
    <w:multiLevelType w:val="hybridMultilevel"/>
    <w:tmpl w:val="800E20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8694BAD"/>
    <w:multiLevelType w:val="hybridMultilevel"/>
    <w:tmpl w:val="CDAAA1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E2D7866"/>
    <w:multiLevelType w:val="hybridMultilevel"/>
    <w:tmpl w:val="6E566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2122A55"/>
    <w:multiLevelType w:val="hybridMultilevel"/>
    <w:tmpl w:val="6F7A2A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D28"/>
    <w:rsid w:val="001F73EB"/>
    <w:rsid w:val="00431D9C"/>
    <w:rsid w:val="004E700A"/>
    <w:rsid w:val="00BF5D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928705-71BD-455B-88F8-4A6AD717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D28"/>
  </w:style>
  <w:style w:type="paragraph" w:styleId="Footer">
    <w:name w:val="footer"/>
    <w:basedOn w:val="Normal"/>
    <w:link w:val="FooterChar"/>
    <w:uiPriority w:val="99"/>
    <w:unhideWhenUsed/>
    <w:rsid w:val="00BF5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Moriarty, Karen SASWH</dc:creator>
  <cp:keywords/>
  <dc:description/>
  <cp:lastModifiedBy>Griffin, Carolyn SASWH</cp:lastModifiedBy>
  <cp:revision>3</cp:revision>
  <dcterms:created xsi:type="dcterms:W3CDTF">2021-02-24T17:29:00Z</dcterms:created>
  <dcterms:modified xsi:type="dcterms:W3CDTF">2021-04-12T16:26:00Z</dcterms:modified>
</cp:coreProperties>
</file>